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A4E71" w14:textId="3309BEF5" w:rsidR="000E55DC" w:rsidRDefault="000E55DC" w:rsidP="00444A80">
      <w:pPr>
        <w:pStyle w:val="Titolo1"/>
        <w:tabs>
          <w:tab w:val="left" w:pos="4095"/>
        </w:tabs>
        <w:spacing w:before="35" w:line="405" w:lineRule="auto"/>
        <w:ind w:left="0"/>
        <w:rPr>
          <w:color w:val="2E5395"/>
        </w:rPr>
      </w:pPr>
    </w:p>
    <w:p w14:paraId="133C6BBD" w14:textId="77777777" w:rsidR="00444A80" w:rsidRPr="00444A80" w:rsidRDefault="00444A80" w:rsidP="00444A80">
      <w:pPr>
        <w:rPr>
          <w:rFonts w:ascii="Arial MT" w:eastAsia="Arial MT" w:hAnsi="Arial MT" w:cs="Arial MT"/>
        </w:rPr>
      </w:pPr>
      <w:r w:rsidRPr="00444A80">
        <w:rPr>
          <w:rFonts w:ascii="Calibri" w:eastAsia="Calibri" w:hAnsi="Calibri" w:cs="Arial MT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B916909" wp14:editId="44776020">
            <wp:simplePos x="0" y="0"/>
            <wp:positionH relativeFrom="column">
              <wp:posOffset>3242945</wp:posOffset>
            </wp:positionH>
            <wp:positionV relativeFrom="paragraph">
              <wp:posOffset>-57150</wp:posOffset>
            </wp:positionV>
            <wp:extent cx="372110" cy="389890"/>
            <wp:effectExtent l="0" t="0" r="8890" b="0"/>
            <wp:wrapSquare wrapText="bothSides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DED15" w14:textId="77777777" w:rsidR="00444A80" w:rsidRPr="00444A80" w:rsidRDefault="00444A80" w:rsidP="00444A80">
      <w:pPr>
        <w:keepNext/>
        <w:keepLines/>
        <w:outlineLvl w:val="1"/>
        <w:rPr>
          <w:rFonts w:ascii="Calibri" w:eastAsia="Arial MT" w:hAnsi="Calibri" w:cs="Calibri"/>
          <w:b/>
          <w:kern w:val="2"/>
          <w:sz w:val="24"/>
          <w:szCs w:val="26"/>
        </w:rPr>
      </w:pPr>
    </w:p>
    <w:p w14:paraId="1B7CF3AE" w14:textId="77777777" w:rsidR="00444A80" w:rsidRPr="00444A80" w:rsidRDefault="00444A80" w:rsidP="00444A80">
      <w:pPr>
        <w:keepNext/>
        <w:keepLines/>
        <w:spacing w:line="264" w:lineRule="auto"/>
        <w:jc w:val="center"/>
        <w:outlineLvl w:val="1"/>
        <w:rPr>
          <w:rFonts w:ascii="Calibri" w:eastAsia="Arial MT" w:hAnsi="Calibri" w:cs="Calibri"/>
          <w:b/>
          <w:kern w:val="2"/>
          <w:sz w:val="24"/>
          <w:szCs w:val="26"/>
        </w:rPr>
      </w:pPr>
      <w:r w:rsidRPr="00444A80">
        <w:rPr>
          <w:rFonts w:ascii="Calibri" w:eastAsia="Arial MT" w:hAnsi="Calibri" w:cs="Calibri"/>
          <w:b/>
          <w:kern w:val="2"/>
          <w:sz w:val="24"/>
          <w:szCs w:val="26"/>
        </w:rPr>
        <w:t>Ministero dell’Istruzione e del Merito</w:t>
      </w:r>
    </w:p>
    <w:p w14:paraId="239D24C4" w14:textId="77777777" w:rsidR="00444A80" w:rsidRPr="00444A80" w:rsidRDefault="00444A80" w:rsidP="00444A80">
      <w:pPr>
        <w:spacing w:line="264" w:lineRule="auto"/>
        <w:jc w:val="center"/>
        <w:rPr>
          <w:rFonts w:ascii="Calibri" w:eastAsia="Calibri" w:hAnsi="Calibri" w:cs="Calibri"/>
          <w:b/>
          <w:kern w:val="2"/>
          <w:sz w:val="24"/>
        </w:rPr>
      </w:pPr>
      <w:r w:rsidRPr="00444A80">
        <w:rPr>
          <w:rFonts w:ascii="Calibri" w:eastAsia="Calibri" w:hAnsi="Calibri" w:cs="Calibri"/>
          <w:b/>
          <w:kern w:val="2"/>
          <w:sz w:val="24"/>
        </w:rPr>
        <w:t>Istituto Comprensivo Aldo Moro</w:t>
      </w:r>
    </w:p>
    <w:p w14:paraId="5E9842C7" w14:textId="77777777" w:rsidR="00444A80" w:rsidRPr="00444A80" w:rsidRDefault="00444A80" w:rsidP="00444A80">
      <w:pPr>
        <w:spacing w:line="264" w:lineRule="auto"/>
        <w:jc w:val="center"/>
        <w:rPr>
          <w:rFonts w:ascii="Calibri" w:eastAsia="Arial" w:hAnsi="Calibri" w:cs="Calibri"/>
          <w:b/>
          <w:kern w:val="2"/>
          <w:sz w:val="24"/>
        </w:rPr>
      </w:pPr>
      <w:r w:rsidRPr="00444A80">
        <w:rPr>
          <w:rFonts w:ascii="Calibri" w:eastAsia="Arial MT" w:hAnsi="Calibri" w:cs="Calibri"/>
          <w:b/>
          <w:kern w:val="2"/>
          <w:sz w:val="24"/>
        </w:rPr>
        <w:t xml:space="preserve"> Via Viviani 2, 81024 Maddaloni (CE)</w:t>
      </w:r>
    </w:p>
    <w:p w14:paraId="1246A264" w14:textId="77777777" w:rsidR="00444A80" w:rsidRPr="00444A80" w:rsidRDefault="00444A80" w:rsidP="00444A80">
      <w:pPr>
        <w:tabs>
          <w:tab w:val="left" w:pos="894"/>
        </w:tabs>
        <w:spacing w:line="264" w:lineRule="auto"/>
        <w:jc w:val="center"/>
        <w:rPr>
          <w:rFonts w:ascii="Calibri" w:eastAsia="Verdana" w:hAnsi="Calibri" w:cs="Calibri"/>
          <w:kern w:val="2"/>
        </w:rPr>
      </w:pPr>
      <w:r w:rsidRPr="00444A80">
        <w:rPr>
          <w:rFonts w:ascii="Calibri" w:eastAsia="Verdana" w:hAnsi="Calibri" w:cs="Calibri"/>
          <w:kern w:val="2"/>
          <w:sz w:val="24"/>
        </w:rPr>
        <w:t>TEL.  0823 435949 - MAIL: ceic8av00r@istruzione.it - PEC: ceic8av00r@PEC.istruzione.it</w:t>
      </w:r>
    </w:p>
    <w:p w14:paraId="3AD07E7E" w14:textId="77777777" w:rsidR="00444A80" w:rsidRPr="00444A80" w:rsidRDefault="00444A80" w:rsidP="00444A80">
      <w:pPr>
        <w:tabs>
          <w:tab w:val="center" w:pos="4819"/>
          <w:tab w:val="right" w:pos="9638"/>
        </w:tabs>
        <w:jc w:val="center"/>
        <w:rPr>
          <w:rFonts w:ascii="Calibri" w:eastAsia="Calibri" w:hAnsi="Calibri" w:cs="Arial"/>
          <w:kern w:val="2"/>
          <w:sz w:val="24"/>
        </w:rPr>
      </w:pPr>
      <w:r w:rsidRPr="00444A80">
        <w:rPr>
          <w:rFonts w:ascii="Calibri" w:eastAsia="Calibri" w:hAnsi="Calibri" w:cs="Calibri"/>
          <w:kern w:val="2"/>
          <w:sz w:val="24"/>
        </w:rPr>
        <w:t>CODICE FISCALE: 9308602612 - C.M.:  ceic8av00r - C.U.U.:  UF8WE6</w:t>
      </w:r>
    </w:p>
    <w:p w14:paraId="164CAFCF" w14:textId="77777777" w:rsidR="000E55DC" w:rsidRPr="000E55DC" w:rsidRDefault="000E55DC" w:rsidP="000E55DC">
      <w:pPr>
        <w:spacing w:before="80" w:after="80" w:line="288" w:lineRule="auto"/>
        <w:rPr>
          <w:rFonts w:ascii="Arial MT" w:eastAsia="Arial MT" w:hAnsi="Arial MT" w:cs="Arial MT"/>
          <w:sz w:val="24"/>
          <w:szCs w:val="24"/>
        </w:rPr>
      </w:pPr>
      <w:r w:rsidRPr="000E55DC">
        <w:rPr>
          <w:rFonts w:ascii="Arial MT" w:eastAsia="Arial MT" w:hAnsi="Arial MT" w:cs="Arial MT"/>
          <w:b/>
          <w:color w:val="000000"/>
          <w:sz w:val="24"/>
          <w:szCs w:val="24"/>
        </w:rPr>
        <w:t xml:space="preserve"> </w:t>
      </w:r>
    </w:p>
    <w:p w14:paraId="3B2E84A4" w14:textId="6BD2F5AE" w:rsidR="00AD6E92" w:rsidRPr="00444A80" w:rsidRDefault="00C86EFC" w:rsidP="00444A80">
      <w:pPr>
        <w:pStyle w:val="Titolo1"/>
        <w:spacing w:line="276" w:lineRule="auto"/>
        <w:ind w:right="784"/>
        <w:jc w:val="both"/>
        <w:rPr>
          <w:rFonts w:asciiTheme="minorHAnsi" w:hAnsiTheme="minorHAnsi" w:cstheme="minorHAnsi"/>
          <w:sz w:val="22"/>
          <w:szCs w:val="22"/>
        </w:rPr>
      </w:pPr>
      <w:r w:rsidRPr="00444A80">
        <w:rPr>
          <w:rFonts w:asciiTheme="minorHAnsi" w:hAnsiTheme="minorHAnsi" w:cstheme="minorHAnsi"/>
          <w:color w:val="2E5395"/>
          <w:sz w:val="22"/>
          <w:szCs w:val="22"/>
        </w:rPr>
        <w:t>PROCEDURA</w:t>
      </w:r>
      <w:r w:rsidRPr="00444A80">
        <w:rPr>
          <w:rFonts w:asciiTheme="minorHAnsi" w:hAnsiTheme="minorHAnsi" w:cstheme="minorHAnsi"/>
          <w:color w:val="2E5395"/>
          <w:spacing w:val="-11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PER</w:t>
      </w:r>
      <w:r w:rsidRPr="00444A80">
        <w:rPr>
          <w:rFonts w:asciiTheme="minorHAnsi" w:hAnsiTheme="minorHAnsi" w:cstheme="minorHAnsi"/>
          <w:color w:val="2E5395"/>
          <w:spacing w:val="-10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LA</w:t>
      </w:r>
      <w:r w:rsidRPr="00444A80">
        <w:rPr>
          <w:rFonts w:asciiTheme="minorHAnsi" w:hAnsiTheme="minorHAnsi" w:cstheme="minorHAnsi"/>
          <w:color w:val="2E5395"/>
          <w:spacing w:val="-10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SEGNALAZIONE</w:t>
      </w:r>
      <w:r w:rsidRPr="00444A80">
        <w:rPr>
          <w:rFonts w:asciiTheme="minorHAnsi" w:hAnsiTheme="minorHAnsi" w:cstheme="minorHAnsi"/>
          <w:color w:val="2E5395"/>
          <w:spacing w:val="-9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DI</w:t>
      </w:r>
      <w:r w:rsidRPr="00444A80">
        <w:rPr>
          <w:rFonts w:asciiTheme="minorHAnsi" w:hAnsiTheme="minorHAnsi" w:cstheme="minorHAnsi"/>
          <w:color w:val="2E5395"/>
          <w:spacing w:val="-10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ILLECITI</w:t>
      </w:r>
      <w:r w:rsidRPr="00444A80">
        <w:rPr>
          <w:rFonts w:asciiTheme="minorHAnsi" w:hAnsiTheme="minorHAnsi" w:cstheme="minorHAnsi"/>
          <w:color w:val="2E5395"/>
          <w:spacing w:val="-11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E</w:t>
      </w:r>
      <w:r w:rsidRPr="00444A80">
        <w:rPr>
          <w:rFonts w:asciiTheme="minorHAnsi" w:hAnsiTheme="minorHAnsi" w:cstheme="minorHAnsi"/>
          <w:color w:val="2E5395"/>
          <w:spacing w:val="-9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IRREGOLARITÀ</w:t>
      </w:r>
      <w:r w:rsidRPr="00444A80">
        <w:rPr>
          <w:rFonts w:asciiTheme="minorHAnsi" w:hAnsiTheme="minorHAnsi" w:cstheme="minorHAnsi"/>
          <w:color w:val="2E5395"/>
          <w:spacing w:val="-69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WHISTLEBLOWING</w:t>
      </w:r>
    </w:p>
    <w:p w14:paraId="74C44459" w14:textId="77777777" w:rsidR="00444A80" w:rsidRDefault="00444A80" w:rsidP="00444A80">
      <w:pPr>
        <w:spacing w:line="276" w:lineRule="auto"/>
        <w:ind w:left="652"/>
        <w:jc w:val="both"/>
        <w:rPr>
          <w:rFonts w:asciiTheme="minorHAnsi" w:hAnsiTheme="minorHAnsi" w:cstheme="minorHAnsi"/>
          <w:color w:val="2E5395"/>
          <w:spacing w:val="-1"/>
        </w:rPr>
      </w:pPr>
    </w:p>
    <w:p w14:paraId="0BB77CA0" w14:textId="0A5833B4" w:rsidR="00695A9A" w:rsidRPr="00444A80" w:rsidRDefault="00C86EFC" w:rsidP="00444A80">
      <w:pPr>
        <w:spacing w:line="276" w:lineRule="auto"/>
        <w:ind w:left="652"/>
        <w:jc w:val="both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  <w:color w:val="2E5395"/>
          <w:spacing w:val="-1"/>
        </w:rPr>
        <w:t>FONTE</w:t>
      </w:r>
      <w:r w:rsidRPr="00444A80">
        <w:rPr>
          <w:rFonts w:asciiTheme="minorHAnsi" w:hAnsiTheme="minorHAnsi" w:cstheme="minorHAnsi"/>
          <w:color w:val="2E5395"/>
          <w:spacing w:val="-16"/>
        </w:rPr>
        <w:t xml:space="preserve"> </w:t>
      </w:r>
      <w:r w:rsidRPr="00444A80">
        <w:rPr>
          <w:rFonts w:asciiTheme="minorHAnsi" w:hAnsiTheme="minorHAnsi" w:cstheme="minorHAnsi"/>
          <w:color w:val="2E5395"/>
          <w:spacing w:val="-1"/>
        </w:rPr>
        <w:t>NORMATIVA</w:t>
      </w:r>
    </w:p>
    <w:p w14:paraId="1934D062" w14:textId="77777777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 xml:space="preserve">L’art. 1, comma 51, della legge 190/2012 (cd. legge anticorruzione) ha inserito un nuovo articolo, il 54 bis, nell’ambito del d.lgs. 165/2001, rubricato “tutela del dipendente pubblico che segnala illeciti”, in virtù del quale è stata introdotta nel nostro ordinamento una misura finalizzata a favorire l’emersione di fattispecie di illecito, nota nei paesi anglosassoni come </w:t>
      </w:r>
      <w:proofErr w:type="spellStart"/>
      <w:r w:rsidRPr="00444A80">
        <w:rPr>
          <w:rFonts w:asciiTheme="minorHAnsi" w:hAnsiTheme="minorHAnsi" w:cstheme="minorHAnsi"/>
        </w:rPr>
        <w:t>whistleblowing</w:t>
      </w:r>
      <w:proofErr w:type="spellEnd"/>
      <w:r w:rsidRPr="00444A80">
        <w:rPr>
          <w:rFonts w:asciiTheme="minorHAnsi" w:hAnsiTheme="minorHAnsi" w:cstheme="minorHAnsi"/>
        </w:rPr>
        <w:t>.</w:t>
      </w:r>
    </w:p>
    <w:p w14:paraId="4630836F" w14:textId="54C0D5D5" w:rsidR="00443AFE" w:rsidRPr="00444A80" w:rsidRDefault="00443AFE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 xml:space="preserve">Con il Decreto Legislativo 10 marzo 2023, n. 24 l'Italia ha recepito la Direttiva UE 2019/1937 la cui finalità è quella di disciplinare la protezione dei </w:t>
      </w:r>
      <w:proofErr w:type="spellStart"/>
      <w:r w:rsidRPr="00444A80">
        <w:rPr>
          <w:rFonts w:asciiTheme="minorHAnsi" w:hAnsiTheme="minorHAnsi" w:cstheme="minorHAnsi"/>
        </w:rPr>
        <w:t>whistleblowers</w:t>
      </w:r>
      <w:proofErr w:type="spellEnd"/>
      <w:r w:rsidRPr="00444A80">
        <w:rPr>
          <w:rFonts w:asciiTheme="minorHAnsi" w:hAnsiTheme="minorHAnsi" w:cstheme="minorHAnsi"/>
        </w:rPr>
        <w:t xml:space="preserve"> all’interno dell’Unione Europea, fornendo norme minime di tutela per uniformare le normative nazionali.</w:t>
      </w:r>
    </w:p>
    <w:p w14:paraId="73D19D6B" w14:textId="46C84A72" w:rsidR="00443AFE" w:rsidRPr="00444A80" w:rsidRDefault="00443AFE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Con la Delibera n°311 del 12 luglio 2023 l’ANAC ha emanato le Linee guida e le procedure per la presentazione e gestione delle segnalazioni.</w:t>
      </w:r>
    </w:p>
    <w:p w14:paraId="1A2AF34E" w14:textId="77777777" w:rsidR="00695A9A" w:rsidRPr="00444A80" w:rsidRDefault="00C86EFC" w:rsidP="00444A80">
      <w:pPr>
        <w:pStyle w:val="Titolo1"/>
        <w:spacing w:before="23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A80">
        <w:rPr>
          <w:rFonts w:asciiTheme="minorHAnsi" w:hAnsiTheme="minorHAnsi" w:cstheme="minorHAnsi"/>
          <w:color w:val="2E5395"/>
          <w:sz w:val="22"/>
          <w:szCs w:val="22"/>
        </w:rPr>
        <w:t>DEFINIZIONE</w:t>
      </w:r>
      <w:r w:rsidRPr="00444A80">
        <w:rPr>
          <w:rFonts w:asciiTheme="minorHAnsi" w:hAnsiTheme="minorHAnsi" w:cstheme="minorHAnsi"/>
          <w:color w:val="2E5395"/>
          <w:spacing w:val="-8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DI</w:t>
      </w:r>
      <w:r w:rsidRPr="00444A80">
        <w:rPr>
          <w:rFonts w:asciiTheme="minorHAnsi" w:hAnsiTheme="minorHAnsi" w:cstheme="minorHAnsi"/>
          <w:color w:val="2E5395"/>
          <w:spacing w:val="-6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WHISTLEBLOWING</w:t>
      </w:r>
    </w:p>
    <w:p w14:paraId="7CC4B78C" w14:textId="77777777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 xml:space="preserve">Con l’espressione </w:t>
      </w:r>
      <w:proofErr w:type="spellStart"/>
      <w:r w:rsidRPr="00444A80">
        <w:rPr>
          <w:rFonts w:asciiTheme="minorHAnsi" w:hAnsiTheme="minorHAnsi" w:cstheme="minorHAnsi"/>
        </w:rPr>
        <w:t>whistleblower</w:t>
      </w:r>
      <w:proofErr w:type="spellEnd"/>
      <w:r w:rsidRPr="00444A80">
        <w:rPr>
          <w:rFonts w:asciiTheme="minorHAnsi" w:hAnsiTheme="minorHAnsi" w:cstheme="minorHAnsi"/>
        </w:rPr>
        <w:t xml:space="preserve"> si fa riferimento al dipendente di un’amministrazione che segnala violazioni o irregolarità commesse ai danni dell’interesse pubblico agli organi legittimati ad intervenire.</w:t>
      </w:r>
    </w:p>
    <w:p w14:paraId="21C26940" w14:textId="77777777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 xml:space="preserve">La segnalazione (cd. </w:t>
      </w:r>
      <w:proofErr w:type="spellStart"/>
      <w:r w:rsidRPr="00444A80">
        <w:rPr>
          <w:rFonts w:asciiTheme="minorHAnsi" w:hAnsiTheme="minorHAnsi" w:cstheme="minorHAnsi"/>
        </w:rPr>
        <w:t>whistleblowing</w:t>
      </w:r>
      <w:proofErr w:type="spellEnd"/>
      <w:r w:rsidRPr="00444A80">
        <w:rPr>
          <w:rFonts w:asciiTheme="minorHAnsi" w:hAnsiTheme="minorHAnsi" w:cstheme="minorHAnsi"/>
        </w:rPr>
        <w:t xml:space="preserve">), in tale ottica, è un atto di manifestazione di senso civico, attraverso cui il </w:t>
      </w:r>
      <w:proofErr w:type="spellStart"/>
      <w:r w:rsidRPr="00444A80">
        <w:rPr>
          <w:rFonts w:asciiTheme="minorHAnsi" w:hAnsiTheme="minorHAnsi" w:cstheme="minorHAnsi"/>
        </w:rPr>
        <w:t>whistleblower</w:t>
      </w:r>
      <w:proofErr w:type="spellEnd"/>
      <w:r w:rsidRPr="00444A80">
        <w:rPr>
          <w:rFonts w:asciiTheme="minorHAnsi" w:hAnsiTheme="minorHAnsi" w:cstheme="minorHAnsi"/>
        </w:rPr>
        <w:t xml:space="preserve"> contribuisce all’emersione e alla prevenzione di rischi e situazioni pregiudizievoli per l’amministrazione di appartenenza e, di riflesso, per l’interesse pubblico collettivo.</w:t>
      </w:r>
    </w:p>
    <w:p w14:paraId="3A4C8B9A" w14:textId="77777777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 xml:space="preserve">Il </w:t>
      </w:r>
      <w:proofErr w:type="spellStart"/>
      <w:r w:rsidRPr="00444A80">
        <w:rPr>
          <w:rFonts w:asciiTheme="minorHAnsi" w:hAnsiTheme="minorHAnsi" w:cstheme="minorHAnsi"/>
        </w:rPr>
        <w:t>whistleblowing</w:t>
      </w:r>
      <w:proofErr w:type="spellEnd"/>
      <w:r w:rsidRPr="00444A80">
        <w:rPr>
          <w:rFonts w:asciiTheme="minorHAnsi" w:hAnsiTheme="minorHAnsi" w:cstheme="minorHAnsi"/>
        </w:rPr>
        <w:t xml:space="preserve"> è la procedura volta a incentivare le segnalazioni e a tutelare, proprio in ragione della sua funzione sociale, il </w:t>
      </w:r>
      <w:proofErr w:type="spellStart"/>
      <w:r w:rsidRPr="00444A80">
        <w:rPr>
          <w:rFonts w:asciiTheme="minorHAnsi" w:hAnsiTheme="minorHAnsi" w:cstheme="minorHAnsi"/>
        </w:rPr>
        <w:t>whistleblower</w:t>
      </w:r>
      <w:proofErr w:type="spellEnd"/>
      <w:r w:rsidRPr="00444A80">
        <w:rPr>
          <w:rFonts w:asciiTheme="minorHAnsi" w:hAnsiTheme="minorHAnsi" w:cstheme="minorHAnsi"/>
        </w:rPr>
        <w:t>.</w:t>
      </w:r>
    </w:p>
    <w:p w14:paraId="25945423" w14:textId="77777777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 xml:space="preserve">Lo scopo principale del </w:t>
      </w:r>
      <w:proofErr w:type="spellStart"/>
      <w:r w:rsidRPr="00444A80">
        <w:rPr>
          <w:rFonts w:asciiTheme="minorHAnsi" w:hAnsiTheme="minorHAnsi" w:cstheme="minorHAnsi"/>
        </w:rPr>
        <w:t>whistleblowing</w:t>
      </w:r>
      <w:proofErr w:type="spellEnd"/>
      <w:r w:rsidRPr="00444A80">
        <w:rPr>
          <w:rFonts w:asciiTheme="minorHAnsi" w:hAnsiTheme="minorHAnsi" w:cstheme="minorHAnsi"/>
        </w:rPr>
        <w:t xml:space="preserve"> è quello di prevenire o risolvere un problema internamente e tempestivamente.</w:t>
      </w:r>
    </w:p>
    <w:p w14:paraId="466C773D" w14:textId="77777777" w:rsidR="00695A9A" w:rsidRPr="00444A80" w:rsidRDefault="00C86EFC" w:rsidP="00444A80">
      <w:pPr>
        <w:pStyle w:val="Titolo1"/>
        <w:spacing w:before="227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A80">
        <w:rPr>
          <w:rFonts w:asciiTheme="minorHAnsi" w:hAnsiTheme="minorHAnsi" w:cstheme="minorHAnsi"/>
          <w:color w:val="2E5395"/>
          <w:sz w:val="22"/>
          <w:szCs w:val="22"/>
        </w:rPr>
        <w:t>SCOPO</w:t>
      </w:r>
      <w:r w:rsidRPr="00444A80">
        <w:rPr>
          <w:rFonts w:asciiTheme="minorHAnsi" w:hAnsiTheme="minorHAnsi" w:cstheme="minorHAnsi"/>
          <w:color w:val="2E5395"/>
          <w:spacing w:val="6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E</w:t>
      </w:r>
      <w:r w:rsidRPr="00444A80">
        <w:rPr>
          <w:rFonts w:asciiTheme="minorHAnsi" w:hAnsiTheme="minorHAnsi" w:cstheme="minorHAnsi"/>
          <w:color w:val="2E5395"/>
          <w:spacing w:val="7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FINALITÀ</w:t>
      </w:r>
      <w:r w:rsidRPr="00444A80">
        <w:rPr>
          <w:rFonts w:asciiTheme="minorHAnsi" w:hAnsiTheme="minorHAnsi" w:cstheme="minorHAnsi"/>
          <w:color w:val="2E5395"/>
          <w:spacing w:val="10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DELLA</w:t>
      </w:r>
      <w:r w:rsidRPr="00444A80">
        <w:rPr>
          <w:rFonts w:asciiTheme="minorHAnsi" w:hAnsiTheme="minorHAnsi" w:cstheme="minorHAnsi"/>
          <w:color w:val="2E5395"/>
          <w:spacing w:val="9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PROCEDURA</w:t>
      </w:r>
    </w:p>
    <w:p w14:paraId="4A2745A9" w14:textId="77777777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 xml:space="preserve">Scopo del presente documento è quello di rimuovere i fattori che possono ostacolare o disincentivare il ricorso all’istituto, quali i dubbi e le incertezze circa la procedura da seguire e i timori di ritorsioni o discriminazioni. In tale prospettiva, l’obiettivo perseguito dalla presente procedura è quello di fornire al </w:t>
      </w:r>
      <w:proofErr w:type="spellStart"/>
      <w:r w:rsidRPr="00444A80">
        <w:rPr>
          <w:rFonts w:asciiTheme="minorHAnsi" w:hAnsiTheme="minorHAnsi" w:cstheme="minorHAnsi"/>
        </w:rPr>
        <w:t>whistleblower</w:t>
      </w:r>
      <w:proofErr w:type="spellEnd"/>
      <w:r w:rsidRPr="00444A80">
        <w:rPr>
          <w:rFonts w:asciiTheme="minorHAnsi" w:hAnsiTheme="minorHAnsi" w:cstheme="minorHAnsi"/>
        </w:rPr>
        <w:t xml:space="preserve"> chiare indicazioni operative circa oggetto, contenuti, destinatari e modalità di trasmissione delle segnalazioni, nonché circa le forme di tutela che gli vengono offerte nel nostro ordinamento.</w:t>
      </w:r>
    </w:p>
    <w:p w14:paraId="57313565" w14:textId="77777777" w:rsidR="00695A9A" w:rsidRPr="00444A80" w:rsidRDefault="00C86EFC" w:rsidP="00444A80">
      <w:pPr>
        <w:pStyle w:val="Titolo1"/>
        <w:spacing w:before="1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A80">
        <w:rPr>
          <w:rFonts w:asciiTheme="minorHAnsi" w:hAnsiTheme="minorHAnsi" w:cstheme="minorHAnsi"/>
          <w:color w:val="2E5395"/>
          <w:sz w:val="22"/>
          <w:szCs w:val="22"/>
        </w:rPr>
        <w:t>OGGETTO</w:t>
      </w:r>
      <w:r w:rsidRPr="00444A80">
        <w:rPr>
          <w:rFonts w:asciiTheme="minorHAnsi" w:hAnsiTheme="minorHAnsi" w:cstheme="minorHAnsi"/>
          <w:color w:val="2E5395"/>
          <w:spacing w:val="16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DELLA</w:t>
      </w:r>
      <w:r w:rsidRPr="00444A80">
        <w:rPr>
          <w:rFonts w:asciiTheme="minorHAnsi" w:hAnsiTheme="minorHAnsi" w:cstheme="minorHAnsi"/>
          <w:color w:val="2E5395"/>
          <w:spacing w:val="16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SEGNALAZIONE</w:t>
      </w:r>
    </w:p>
    <w:p w14:paraId="15DA4ADF" w14:textId="7B365722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 xml:space="preserve">Non esiste una lista tassativa di reati o irregolarità che possono costituire l’oggetto del </w:t>
      </w:r>
      <w:proofErr w:type="spellStart"/>
      <w:r w:rsidRPr="00444A80">
        <w:rPr>
          <w:rFonts w:asciiTheme="minorHAnsi" w:hAnsiTheme="minorHAnsi" w:cstheme="minorHAnsi"/>
        </w:rPr>
        <w:t>whistleblowing</w:t>
      </w:r>
      <w:proofErr w:type="spellEnd"/>
      <w:r w:rsidRPr="00444A80">
        <w:rPr>
          <w:rFonts w:asciiTheme="minorHAnsi" w:hAnsiTheme="minorHAnsi" w:cstheme="minorHAnsi"/>
        </w:rPr>
        <w:t>. Vengono considerate rilevanti le segnalazioni che riguardano comportamenti, rischi, reati o irregolarità, consumati o tentati, a danno dell’interesse pubblico.</w:t>
      </w:r>
      <w:r w:rsidR="000E55DC" w:rsidRPr="00444A80">
        <w:rPr>
          <w:rFonts w:asciiTheme="minorHAnsi" w:hAnsiTheme="minorHAnsi" w:cstheme="minorHAnsi"/>
        </w:rPr>
        <w:t xml:space="preserve"> I</w:t>
      </w:r>
      <w:r w:rsidRPr="00444A80">
        <w:rPr>
          <w:rFonts w:asciiTheme="minorHAnsi" w:hAnsiTheme="minorHAnsi" w:cstheme="minorHAnsi"/>
        </w:rPr>
        <w:t>n particolare, la segnalazione può riguardare azioni od omissioni, commesse o tentate:</w:t>
      </w:r>
    </w:p>
    <w:p w14:paraId="7277050E" w14:textId="3D75BD0C" w:rsidR="00695A9A" w:rsidRPr="00444A80" w:rsidRDefault="00C86EFC" w:rsidP="00444A80">
      <w:pPr>
        <w:pStyle w:val="Corpotesto"/>
        <w:numPr>
          <w:ilvl w:val="0"/>
          <w:numId w:val="4"/>
        </w:numPr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Penalmente rilevanti</w:t>
      </w:r>
      <w:r w:rsidR="00443AFE" w:rsidRPr="00444A80">
        <w:rPr>
          <w:rFonts w:asciiTheme="minorHAnsi" w:hAnsiTheme="minorHAnsi" w:cstheme="minorHAnsi"/>
        </w:rPr>
        <w:t>;</w:t>
      </w:r>
    </w:p>
    <w:p w14:paraId="5B09E531" w14:textId="68E25B56" w:rsidR="00695A9A" w:rsidRPr="00444A80" w:rsidRDefault="00C86EFC" w:rsidP="00444A80">
      <w:pPr>
        <w:pStyle w:val="Corpotesto"/>
        <w:numPr>
          <w:ilvl w:val="0"/>
          <w:numId w:val="4"/>
        </w:numPr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 xml:space="preserve">Attuate in violazione dei Codici di comportamento o di altre disposizioni interne sanzionabili in via </w:t>
      </w:r>
      <w:r w:rsidRPr="00444A80">
        <w:rPr>
          <w:rFonts w:asciiTheme="minorHAnsi" w:hAnsiTheme="minorHAnsi" w:cstheme="minorHAnsi"/>
        </w:rPr>
        <w:lastRenderedPageBreak/>
        <w:t>disciplinare</w:t>
      </w:r>
      <w:r w:rsidR="00443AFE" w:rsidRPr="00444A80">
        <w:rPr>
          <w:rFonts w:asciiTheme="minorHAnsi" w:hAnsiTheme="minorHAnsi" w:cstheme="minorHAnsi"/>
        </w:rPr>
        <w:t>;</w:t>
      </w:r>
    </w:p>
    <w:p w14:paraId="25AA736D" w14:textId="4ED6D43F" w:rsidR="00695A9A" w:rsidRPr="00444A80" w:rsidRDefault="00C86EFC" w:rsidP="00444A80">
      <w:pPr>
        <w:pStyle w:val="Corpotesto"/>
        <w:numPr>
          <w:ilvl w:val="0"/>
          <w:numId w:val="4"/>
        </w:numPr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Azioni che possano</w:t>
      </w:r>
      <w:r w:rsidR="00443AFE" w:rsidRPr="00444A80">
        <w:rPr>
          <w:rFonts w:asciiTheme="minorHAnsi" w:hAnsiTheme="minorHAnsi" w:cstheme="minorHAnsi"/>
        </w:rPr>
        <w:t xml:space="preserve"> </w:t>
      </w:r>
      <w:r w:rsidRPr="00444A80">
        <w:rPr>
          <w:rFonts w:asciiTheme="minorHAnsi" w:hAnsiTheme="minorHAnsi" w:cstheme="minorHAnsi"/>
        </w:rPr>
        <w:t>arrecare</w:t>
      </w:r>
      <w:r w:rsidR="00443AFE" w:rsidRPr="00444A80">
        <w:rPr>
          <w:rFonts w:asciiTheme="minorHAnsi" w:hAnsiTheme="minorHAnsi" w:cstheme="minorHAnsi"/>
        </w:rPr>
        <w:t xml:space="preserve"> </w:t>
      </w:r>
      <w:r w:rsidRPr="00444A80">
        <w:rPr>
          <w:rFonts w:asciiTheme="minorHAnsi" w:hAnsiTheme="minorHAnsi" w:cstheme="minorHAnsi"/>
        </w:rPr>
        <w:t>un</w:t>
      </w:r>
      <w:r w:rsidR="00443AFE" w:rsidRPr="00444A80">
        <w:rPr>
          <w:rFonts w:asciiTheme="minorHAnsi" w:hAnsiTheme="minorHAnsi" w:cstheme="minorHAnsi"/>
        </w:rPr>
        <w:t xml:space="preserve"> </w:t>
      </w:r>
      <w:r w:rsidRPr="00444A80">
        <w:rPr>
          <w:rFonts w:asciiTheme="minorHAnsi" w:hAnsiTheme="minorHAnsi" w:cstheme="minorHAnsi"/>
        </w:rPr>
        <w:t>pregiudizio</w:t>
      </w:r>
      <w:r w:rsidR="00443AFE" w:rsidRPr="00444A80">
        <w:rPr>
          <w:rFonts w:asciiTheme="minorHAnsi" w:hAnsiTheme="minorHAnsi" w:cstheme="minorHAnsi"/>
        </w:rPr>
        <w:t xml:space="preserve"> </w:t>
      </w:r>
      <w:r w:rsidRPr="00444A80">
        <w:rPr>
          <w:rFonts w:asciiTheme="minorHAnsi" w:hAnsiTheme="minorHAnsi" w:cstheme="minorHAnsi"/>
        </w:rPr>
        <w:t>patrimoniale</w:t>
      </w:r>
      <w:r w:rsidR="00443AFE" w:rsidRPr="00444A80">
        <w:rPr>
          <w:rFonts w:asciiTheme="minorHAnsi" w:hAnsiTheme="minorHAnsi" w:cstheme="minorHAnsi"/>
        </w:rPr>
        <w:t xml:space="preserve"> </w:t>
      </w:r>
      <w:r w:rsidRPr="00444A80">
        <w:rPr>
          <w:rFonts w:asciiTheme="minorHAnsi" w:hAnsiTheme="minorHAnsi" w:cstheme="minorHAnsi"/>
        </w:rPr>
        <w:t>all’amministrazione</w:t>
      </w:r>
      <w:r w:rsidR="00443AFE" w:rsidRPr="00444A80">
        <w:rPr>
          <w:rFonts w:asciiTheme="minorHAnsi" w:hAnsiTheme="minorHAnsi" w:cstheme="minorHAnsi"/>
        </w:rPr>
        <w:t xml:space="preserve"> </w:t>
      </w:r>
      <w:r w:rsidRPr="00444A80">
        <w:rPr>
          <w:rFonts w:asciiTheme="minorHAnsi" w:hAnsiTheme="minorHAnsi" w:cstheme="minorHAnsi"/>
        </w:rPr>
        <w:t>di appartenenza o ad altro ente pubblico</w:t>
      </w:r>
      <w:r w:rsidR="00443AFE" w:rsidRPr="00444A80">
        <w:rPr>
          <w:rFonts w:asciiTheme="minorHAnsi" w:hAnsiTheme="minorHAnsi" w:cstheme="minorHAnsi"/>
        </w:rPr>
        <w:t>;</w:t>
      </w:r>
    </w:p>
    <w:p w14:paraId="171AE249" w14:textId="22996535" w:rsidR="00695A9A" w:rsidRPr="00444A80" w:rsidRDefault="00C86EFC" w:rsidP="00444A80">
      <w:pPr>
        <w:pStyle w:val="Corpotesto"/>
        <w:numPr>
          <w:ilvl w:val="0"/>
          <w:numId w:val="4"/>
        </w:numPr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Azioni che possano arrecare un pregiudizio all’immagine dell'Istituto</w:t>
      </w:r>
      <w:r w:rsidR="00443AFE" w:rsidRPr="00444A80">
        <w:rPr>
          <w:rFonts w:asciiTheme="minorHAnsi" w:hAnsiTheme="minorHAnsi" w:cstheme="minorHAnsi"/>
        </w:rPr>
        <w:t>;</w:t>
      </w:r>
    </w:p>
    <w:p w14:paraId="7D67BB25" w14:textId="489CC61D" w:rsidR="00695A9A" w:rsidRPr="00444A80" w:rsidRDefault="00C86EFC" w:rsidP="00444A80">
      <w:pPr>
        <w:pStyle w:val="Corpotesto"/>
        <w:numPr>
          <w:ilvl w:val="0"/>
          <w:numId w:val="4"/>
        </w:numPr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Azioni che possano arrecare un danno alla salute o sicurezza dei dipendenti, utenti e cittadini</w:t>
      </w:r>
      <w:r w:rsidR="00443AFE" w:rsidRPr="00444A80">
        <w:rPr>
          <w:rFonts w:asciiTheme="minorHAnsi" w:hAnsiTheme="minorHAnsi" w:cstheme="minorHAnsi"/>
        </w:rPr>
        <w:t>;</w:t>
      </w:r>
    </w:p>
    <w:p w14:paraId="0F83763A" w14:textId="41691223" w:rsidR="00695A9A" w:rsidRPr="00444A80" w:rsidRDefault="00C86EFC" w:rsidP="00444A80">
      <w:pPr>
        <w:pStyle w:val="Corpotesto"/>
        <w:numPr>
          <w:ilvl w:val="0"/>
          <w:numId w:val="4"/>
        </w:numPr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Azioni che possano arrecare un danno all’ambiente</w:t>
      </w:r>
      <w:r w:rsidR="00443AFE" w:rsidRPr="00444A80">
        <w:rPr>
          <w:rFonts w:asciiTheme="minorHAnsi" w:hAnsiTheme="minorHAnsi" w:cstheme="minorHAnsi"/>
        </w:rPr>
        <w:t>;</w:t>
      </w:r>
    </w:p>
    <w:p w14:paraId="657C41E0" w14:textId="590C12AB" w:rsidR="00695A9A" w:rsidRPr="00444A80" w:rsidRDefault="00C86EFC" w:rsidP="00444A80">
      <w:pPr>
        <w:pStyle w:val="Corpotesto"/>
        <w:numPr>
          <w:ilvl w:val="0"/>
          <w:numId w:val="4"/>
        </w:numPr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Pregiudizio su utenti, dipendenti o ad altri soggetti che svolgono la loro attività presso</w:t>
      </w:r>
      <w:r w:rsidR="00443AFE" w:rsidRPr="00444A80">
        <w:rPr>
          <w:rFonts w:asciiTheme="minorHAnsi" w:hAnsiTheme="minorHAnsi" w:cstheme="minorHAnsi"/>
        </w:rPr>
        <w:t xml:space="preserve"> </w:t>
      </w:r>
      <w:r w:rsidRPr="00444A80">
        <w:rPr>
          <w:rFonts w:asciiTheme="minorHAnsi" w:hAnsiTheme="minorHAnsi" w:cstheme="minorHAnsi"/>
        </w:rPr>
        <w:t>l’Istituto.</w:t>
      </w:r>
    </w:p>
    <w:p w14:paraId="6AF80CDB" w14:textId="77777777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 xml:space="preserve">Il </w:t>
      </w:r>
      <w:proofErr w:type="spellStart"/>
      <w:r w:rsidRPr="00444A80">
        <w:rPr>
          <w:rFonts w:asciiTheme="minorHAnsi" w:hAnsiTheme="minorHAnsi" w:cstheme="minorHAnsi"/>
        </w:rPr>
        <w:t>whistleblowing</w:t>
      </w:r>
      <w:proofErr w:type="spellEnd"/>
      <w:r w:rsidRPr="00444A80">
        <w:rPr>
          <w:rFonts w:asciiTheme="minorHAnsi" w:hAnsiTheme="minorHAnsi" w:cstheme="minorHAnsi"/>
        </w:rPr>
        <w:t xml:space="preserve"> non riguarda lamentele di carattere personale del segnalante o rivendicazioni/istanze che rientrano nella disciplina del rapporto di lavoro o rapporti col superiore gerarchico o colleghi.</w:t>
      </w:r>
    </w:p>
    <w:p w14:paraId="49122FA2" w14:textId="77777777" w:rsidR="00695A9A" w:rsidRPr="00444A80" w:rsidRDefault="00C86EFC" w:rsidP="00444A80">
      <w:pPr>
        <w:pStyle w:val="Titolo1"/>
        <w:spacing w:before="228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A80">
        <w:rPr>
          <w:rFonts w:asciiTheme="minorHAnsi" w:hAnsiTheme="minorHAnsi" w:cstheme="minorHAnsi"/>
          <w:color w:val="2E5395"/>
          <w:sz w:val="22"/>
          <w:szCs w:val="22"/>
        </w:rPr>
        <w:t>CONTENUTO</w:t>
      </w:r>
      <w:r w:rsidRPr="00444A80">
        <w:rPr>
          <w:rFonts w:asciiTheme="minorHAnsi" w:hAnsiTheme="minorHAnsi" w:cstheme="minorHAnsi"/>
          <w:color w:val="2E5395"/>
          <w:spacing w:val="16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DELLE</w:t>
      </w:r>
      <w:r w:rsidRPr="00444A80">
        <w:rPr>
          <w:rFonts w:asciiTheme="minorHAnsi" w:hAnsiTheme="minorHAnsi" w:cstheme="minorHAnsi"/>
          <w:color w:val="2E5395"/>
          <w:spacing w:val="15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SEGNALAZIONI</w:t>
      </w:r>
    </w:p>
    <w:p w14:paraId="5940C93F" w14:textId="77777777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 xml:space="preserve">Il </w:t>
      </w:r>
      <w:proofErr w:type="spellStart"/>
      <w:r w:rsidRPr="00444A80">
        <w:rPr>
          <w:rFonts w:asciiTheme="minorHAnsi" w:hAnsiTheme="minorHAnsi" w:cstheme="minorHAnsi"/>
        </w:rPr>
        <w:t>whistleblower</w:t>
      </w:r>
      <w:proofErr w:type="spellEnd"/>
      <w:r w:rsidRPr="00444A80">
        <w:rPr>
          <w:rFonts w:asciiTheme="minorHAnsi" w:hAnsiTheme="minorHAnsi" w:cstheme="minorHAnsi"/>
        </w:rPr>
        <w:t xml:space="preserve"> deve fornire tutti gli elementi utili a consentire agli uffici competenti di procedere alle dovute ed appropriate verifiche ed accertamenti a riscontro della fondatezza dei fatti oggetto di segnalazione.</w:t>
      </w:r>
    </w:p>
    <w:p w14:paraId="25754D7B" w14:textId="77777777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A tal fine, la segnalazione deve preferibilmente contenere i seguenti elementi:</w:t>
      </w:r>
    </w:p>
    <w:p w14:paraId="202A2820" w14:textId="4F221A15" w:rsidR="00695A9A" w:rsidRPr="00444A80" w:rsidRDefault="00C86EFC" w:rsidP="00444A80">
      <w:pPr>
        <w:pStyle w:val="Corpotesto"/>
        <w:numPr>
          <w:ilvl w:val="0"/>
          <w:numId w:val="5"/>
        </w:numPr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Generalità del soggetto che effettua la segnalazione</w:t>
      </w:r>
      <w:r w:rsidR="00443AFE" w:rsidRPr="00444A80">
        <w:rPr>
          <w:rFonts w:asciiTheme="minorHAnsi" w:hAnsiTheme="minorHAnsi" w:cstheme="minorHAnsi"/>
        </w:rPr>
        <w:t>;</w:t>
      </w:r>
    </w:p>
    <w:p w14:paraId="0C520F32" w14:textId="6A4F657A" w:rsidR="00695A9A" w:rsidRPr="00444A80" w:rsidRDefault="00C86EFC" w:rsidP="00444A80">
      <w:pPr>
        <w:pStyle w:val="Corpotesto"/>
        <w:numPr>
          <w:ilvl w:val="0"/>
          <w:numId w:val="5"/>
        </w:numPr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Indicazione della posizione o funzione svolta nell’ambito dell’Istituto</w:t>
      </w:r>
      <w:r w:rsidR="00443AFE" w:rsidRPr="00444A80">
        <w:rPr>
          <w:rFonts w:asciiTheme="minorHAnsi" w:hAnsiTheme="minorHAnsi" w:cstheme="minorHAnsi"/>
        </w:rPr>
        <w:t>;</w:t>
      </w:r>
    </w:p>
    <w:p w14:paraId="431DB426" w14:textId="02F4EEF6" w:rsidR="00695A9A" w:rsidRPr="00444A80" w:rsidRDefault="00C86EFC" w:rsidP="00444A80">
      <w:pPr>
        <w:pStyle w:val="Corpotesto"/>
        <w:numPr>
          <w:ilvl w:val="0"/>
          <w:numId w:val="5"/>
        </w:numPr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Completa descrizione dei fatti oggetto di segnalazione (circostanze di tempo e di luogo in cui sono stati commessi, generalità o altri elementi che consentano di identificare il soggetto che ha effettuato la violazione o i fatti segnalati, indicazione di eventuali altri soggetti che possono riferire sui fatti oggetto di segnalazione, indicazione di eventuali documenti che possono confermare la fondatezza di tali fatti etc.)</w:t>
      </w:r>
      <w:r w:rsidR="00443AFE" w:rsidRPr="00444A80">
        <w:rPr>
          <w:rFonts w:asciiTheme="minorHAnsi" w:hAnsiTheme="minorHAnsi" w:cstheme="minorHAnsi"/>
        </w:rPr>
        <w:t>;</w:t>
      </w:r>
    </w:p>
    <w:p w14:paraId="6594FE7A" w14:textId="77777777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Le segnalazioni anonime (prive di elementi che consentano di identificare il loro autore), purché recapitate tramite le modalità previste dal presente documento, verranno prese in considerazione ove si presentino adeguatamente circostanziate e rese con abbondanza di particolari.</w:t>
      </w:r>
    </w:p>
    <w:p w14:paraId="1FF38502" w14:textId="77777777" w:rsidR="00695A9A" w:rsidRPr="00444A80" w:rsidRDefault="00695A9A" w:rsidP="00444A80">
      <w:pPr>
        <w:pStyle w:val="Corpotesto"/>
        <w:spacing w:before="5" w:line="276" w:lineRule="auto"/>
        <w:ind w:left="0"/>
        <w:rPr>
          <w:rFonts w:asciiTheme="minorHAnsi" w:hAnsiTheme="minorHAnsi" w:cstheme="minorHAnsi"/>
        </w:rPr>
      </w:pPr>
    </w:p>
    <w:p w14:paraId="5C426CC6" w14:textId="77777777" w:rsidR="00695A9A" w:rsidRPr="00444A80" w:rsidRDefault="00C86EFC" w:rsidP="00444A80">
      <w:pPr>
        <w:pStyle w:val="Titolo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A80">
        <w:rPr>
          <w:rFonts w:asciiTheme="minorHAnsi" w:hAnsiTheme="minorHAnsi" w:cstheme="minorHAnsi"/>
          <w:color w:val="2E5395"/>
          <w:sz w:val="22"/>
          <w:szCs w:val="22"/>
        </w:rPr>
        <w:t>MODALITÀ</w:t>
      </w:r>
      <w:r w:rsidRPr="00444A80">
        <w:rPr>
          <w:rFonts w:asciiTheme="minorHAnsi" w:hAnsiTheme="minorHAnsi" w:cstheme="minorHAnsi"/>
          <w:color w:val="2E5395"/>
          <w:spacing w:val="5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E</w:t>
      </w:r>
      <w:r w:rsidRPr="00444A80">
        <w:rPr>
          <w:rFonts w:asciiTheme="minorHAnsi" w:hAnsiTheme="minorHAnsi" w:cstheme="minorHAnsi"/>
          <w:color w:val="2E5395"/>
          <w:spacing w:val="1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DESTINATARI</w:t>
      </w:r>
      <w:r w:rsidRPr="00444A80">
        <w:rPr>
          <w:rFonts w:asciiTheme="minorHAnsi" w:hAnsiTheme="minorHAnsi" w:cstheme="minorHAnsi"/>
          <w:color w:val="2E5395"/>
          <w:spacing w:val="3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DELLA</w:t>
      </w:r>
      <w:r w:rsidRPr="00444A80">
        <w:rPr>
          <w:rFonts w:asciiTheme="minorHAnsi" w:hAnsiTheme="minorHAnsi" w:cstheme="minorHAnsi"/>
          <w:color w:val="2E5395"/>
          <w:spacing w:val="6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SEGNALAZIONE</w:t>
      </w:r>
    </w:p>
    <w:p w14:paraId="0E78BC50" w14:textId="1A9F7BD9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L’Istituto mette a disposizione dei propri dipendenti un apposito modello il cui utilizzo rende più agevole la presente procedura. Il modello è reperibile nel sito web dell’Istituto. La segnalazione va</w:t>
      </w:r>
      <w:r w:rsidR="000E55DC" w:rsidRPr="00444A80">
        <w:rPr>
          <w:rFonts w:asciiTheme="minorHAnsi" w:hAnsiTheme="minorHAnsi" w:cstheme="minorHAnsi"/>
        </w:rPr>
        <w:t xml:space="preserve"> i</w:t>
      </w:r>
      <w:r w:rsidRPr="00444A80">
        <w:rPr>
          <w:rFonts w:asciiTheme="minorHAnsi" w:hAnsiTheme="minorHAnsi" w:cstheme="minorHAnsi"/>
        </w:rPr>
        <w:t>ndirizzata al Dirigente Scolastico dell’Istituto, il quale potrà avvalersi del supporto di un nucleo ristretto di persone per la gestione delle segnalazioni. La segnalazione ricevuta va protocollata in via riservata.</w:t>
      </w:r>
    </w:p>
    <w:p w14:paraId="48DCFDD0" w14:textId="77777777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La segnalazione può essere presentata con le seguenti modalità:</w:t>
      </w:r>
    </w:p>
    <w:p w14:paraId="6101E99B" w14:textId="7D331916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 xml:space="preserve">Mediante invio, all’indirizzo di posta elettronica certificata </w:t>
      </w:r>
      <w:r w:rsidRPr="00444A80">
        <w:rPr>
          <w:rFonts w:asciiTheme="minorHAnsi" w:hAnsiTheme="minorHAnsi" w:cstheme="minorHAnsi"/>
          <w:b/>
          <w:bCs/>
          <w:color w:val="FF0000"/>
        </w:rPr>
        <w:t>ceic8av00r@PEC.istruzione.it</w:t>
      </w:r>
    </w:p>
    <w:p w14:paraId="216BBF5E" w14:textId="77777777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 xml:space="preserve">A mezzo del servizio postale o brevi </w:t>
      </w:r>
      <w:proofErr w:type="spellStart"/>
      <w:r w:rsidRPr="00444A80">
        <w:rPr>
          <w:rFonts w:asciiTheme="minorHAnsi" w:hAnsiTheme="minorHAnsi" w:cstheme="minorHAnsi"/>
        </w:rPr>
        <w:t>manu</w:t>
      </w:r>
      <w:proofErr w:type="spellEnd"/>
      <w:r w:rsidRPr="00444A80">
        <w:rPr>
          <w:rFonts w:asciiTheme="minorHAnsi" w:hAnsiTheme="minorHAnsi" w:cstheme="minorHAnsi"/>
        </w:rPr>
        <w:t>; in tal caso, per poter usufruire della garanzia della riservatezza, è necessario che la segnalazione venga inserita in una busta chiusa che rechi all’esterno la dicitura “All’attenzione del Dirigente Scolastico - riservata/personale”.</w:t>
      </w:r>
    </w:p>
    <w:p w14:paraId="3D994DBE" w14:textId="77777777" w:rsidR="00695A9A" w:rsidRPr="00444A80" w:rsidRDefault="00695A9A" w:rsidP="00444A80">
      <w:pPr>
        <w:pStyle w:val="Corpotesto"/>
        <w:spacing w:before="7" w:line="276" w:lineRule="auto"/>
        <w:ind w:left="0"/>
        <w:rPr>
          <w:rFonts w:asciiTheme="minorHAnsi" w:hAnsiTheme="minorHAnsi" w:cstheme="minorHAnsi"/>
        </w:rPr>
      </w:pPr>
    </w:p>
    <w:p w14:paraId="3D484EA3" w14:textId="436E62AC" w:rsidR="00695A9A" w:rsidRPr="00444A80" w:rsidRDefault="00444A80" w:rsidP="00444A80">
      <w:pPr>
        <w:pStyle w:val="Titolo1"/>
        <w:spacing w:line="276" w:lineRule="auto"/>
        <w:jc w:val="both"/>
        <w:rPr>
          <w:rFonts w:asciiTheme="minorHAnsi" w:hAnsiTheme="minorHAnsi" w:cstheme="minorHAnsi"/>
          <w:color w:val="2E5395"/>
          <w:sz w:val="22"/>
          <w:szCs w:val="22"/>
        </w:rPr>
      </w:pPr>
      <w:r w:rsidRPr="00444A80">
        <w:rPr>
          <w:rFonts w:asciiTheme="minorHAnsi" w:hAnsiTheme="minorHAnsi" w:cstheme="minorHAnsi"/>
          <w:color w:val="2E5395"/>
          <w:sz w:val="22"/>
          <w:szCs w:val="22"/>
        </w:rPr>
        <w:t>A</w:t>
      </w:r>
      <w:r w:rsidR="00C86EFC" w:rsidRPr="00444A80">
        <w:rPr>
          <w:rFonts w:asciiTheme="minorHAnsi" w:hAnsiTheme="minorHAnsi" w:cstheme="minorHAnsi"/>
          <w:color w:val="2E5395"/>
          <w:sz w:val="22"/>
          <w:szCs w:val="22"/>
        </w:rPr>
        <w:t>TTIVITÀ DI VERIFICA DELLA FONDATEZZA DELLA SEGNALAZIONE</w:t>
      </w:r>
    </w:p>
    <w:p w14:paraId="19FD8A2D" w14:textId="2AB1A4BC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La gestione e la verifica sulla fondatezza delle circostanze rappresentate nella segnalazione sono affidate al Dirigente Scolastico che vi provvede nel rispetto dei principi di imparzialità e riservatezza effettuando ogni attività ritenuta opportuna. A tal fine, il Dirigente Scolastico può avvalersi del supporto e della collaborazione, di soggetti interni all’Istituto o all’occorrenza, di organi di controllo esterni (tra cui Corte dei conti, Guardia di Finanza, Agenzia</w:t>
      </w:r>
      <w:r w:rsidR="000E55DC" w:rsidRPr="00444A80">
        <w:rPr>
          <w:rFonts w:asciiTheme="minorHAnsi" w:hAnsiTheme="minorHAnsi" w:cstheme="minorHAnsi"/>
        </w:rPr>
        <w:t xml:space="preserve"> </w:t>
      </w:r>
      <w:r w:rsidRPr="00444A80">
        <w:rPr>
          <w:rFonts w:asciiTheme="minorHAnsi" w:hAnsiTheme="minorHAnsi" w:cstheme="minorHAnsi"/>
        </w:rPr>
        <w:t>delle Entrate, ecc.). Qualora, all’esito della verifica, la segnalazione risulti fondata, il Dirigente Scolastico, in relazione alla natura della violazione, provvederà a presentare denuncia all’autorità giudiziaria competente.</w:t>
      </w:r>
    </w:p>
    <w:p w14:paraId="2EAA9459" w14:textId="77777777" w:rsidR="00695A9A" w:rsidRPr="00444A80" w:rsidRDefault="00695A9A" w:rsidP="00444A80">
      <w:pPr>
        <w:pStyle w:val="Corpotesto"/>
        <w:spacing w:before="5" w:line="276" w:lineRule="auto"/>
        <w:ind w:left="0"/>
        <w:rPr>
          <w:rFonts w:asciiTheme="minorHAnsi" w:hAnsiTheme="minorHAnsi" w:cstheme="minorHAnsi"/>
        </w:rPr>
      </w:pPr>
    </w:p>
    <w:p w14:paraId="6109F66B" w14:textId="77777777" w:rsidR="00695A9A" w:rsidRPr="00444A80" w:rsidRDefault="00C86EFC" w:rsidP="00444A80">
      <w:pPr>
        <w:pStyle w:val="Titolo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A80">
        <w:rPr>
          <w:rFonts w:asciiTheme="minorHAnsi" w:hAnsiTheme="minorHAnsi" w:cstheme="minorHAnsi"/>
          <w:color w:val="2E5395"/>
          <w:sz w:val="22"/>
          <w:szCs w:val="22"/>
        </w:rPr>
        <w:lastRenderedPageBreak/>
        <w:t>FORME</w:t>
      </w:r>
      <w:r w:rsidRPr="00444A80">
        <w:rPr>
          <w:rFonts w:asciiTheme="minorHAnsi" w:hAnsiTheme="minorHAnsi" w:cstheme="minorHAnsi"/>
          <w:color w:val="2E5395"/>
          <w:spacing w:val="13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DI</w:t>
      </w:r>
      <w:r w:rsidRPr="00444A80">
        <w:rPr>
          <w:rFonts w:asciiTheme="minorHAnsi" w:hAnsiTheme="minorHAnsi" w:cstheme="minorHAnsi"/>
          <w:color w:val="2E5395"/>
          <w:spacing w:val="8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TUTELA</w:t>
      </w:r>
      <w:r w:rsidRPr="00444A80">
        <w:rPr>
          <w:rFonts w:asciiTheme="minorHAnsi" w:hAnsiTheme="minorHAnsi" w:cstheme="minorHAnsi"/>
          <w:color w:val="2E5395"/>
          <w:spacing w:val="15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DEL</w:t>
      </w:r>
      <w:r w:rsidRPr="00444A80">
        <w:rPr>
          <w:rFonts w:asciiTheme="minorHAnsi" w:hAnsiTheme="minorHAnsi" w:cstheme="minorHAnsi"/>
          <w:color w:val="2E5395"/>
          <w:spacing w:val="17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WHISTLEBLOWER</w:t>
      </w:r>
    </w:p>
    <w:p w14:paraId="563F49C7" w14:textId="77777777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(Ai sensi dell’art. 54 bis d.lgs. 165/2001 e del Piano Nazionale Anticorruzione)</w:t>
      </w:r>
    </w:p>
    <w:p w14:paraId="54FE2824" w14:textId="77777777" w:rsidR="00695A9A" w:rsidRPr="00444A80" w:rsidRDefault="00695A9A" w:rsidP="00444A80">
      <w:pPr>
        <w:pStyle w:val="Corpotesto"/>
        <w:spacing w:before="2" w:line="276" w:lineRule="auto"/>
        <w:ind w:left="0"/>
        <w:rPr>
          <w:rFonts w:asciiTheme="minorHAnsi" w:hAnsiTheme="minorHAnsi" w:cstheme="minorHAnsi"/>
        </w:rPr>
      </w:pPr>
    </w:p>
    <w:p w14:paraId="3556C68B" w14:textId="0C1DFC9A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  <w:b/>
          <w:bCs/>
        </w:rPr>
      </w:pPr>
      <w:r w:rsidRPr="00444A80">
        <w:rPr>
          <w:rFonts w:asciiTheme="minorHAnsi" w:hAnsiTheme="minorHAnsi" w:cstheme="minorHAnsi"/>
          <w:b/>
          <w:bCs/>
        </w:rPr>
        <w:t xml:space="preserve">Obblighi di riservatezza sull’identità del </w:t>
      </w:r>
      <w:proofErr w:type="spellStart"/>
      <w:r w:rsidRPr="00444A80">
        <w:rPr>
          <w:rFonts w:asciiTheme="minorHAnsi" w:hAnsiTheme="minorHAnsi" w:cstheme="minorHAnsi"/>
          <w:b/>
          <w:bCs/>
        </w:rPr>
        <w:t>whistleblower</w:t>
      </w:r>
      <w:proofErr w:type="spellEnd"/>
      <w:r w:rsidRPr="00444A80">
        <w:rPr>
          <w:rFonts w:asciiTheme="minorHAnsi" w:hAnsiTheme="minorHAnsi" w:cstheme="minorHAnsi"/>
          <w:b/>
          <w:bCs/>
        </w:rPr>
        <w:t xml:space="preserve"> e sottrazione al diritto di accesso della segnalazione</w:t>
      </w:r>
      <w:r w:rsidR="00443AFE" w:rsidRPr="00444A80">
        <w:rPr>
          <w:rFonts w:asciiTheme="minorHAnsi" w:hAnsiTheme="minorHAnsi" w:cstheme="minorHAnsi"/>
          <w:b/>
          <w:bCs/>
        </w:rPr>
        <w:t>:</w:t>
      </w:r>
    </w:p>
    <w:p w14:paraId="5D0B97B0" w14:textId="28FB8241" w:rsidR="00695A9A" w:rsidRPr="00444A80" w:rsidRDefault="00C86EFC" w:rsidP="00444A80">
      <w:pPr>
        <w:pStyle w:val="Corpotesto"/>
        <w:numPr>
          <w:ilvl w:val="0"/>
          <w:numId w:val="6"/>
        </w:numPr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 xml:space="preserve">L’identità del </w:t>
      </w:r>
      <w:proofErr w:type="spellStart"/>
      <w:r w:rsidRPr="00444A80">
        <w:rPr>
          <w:rFonts w:asciiTheme="minorHAnsi" w:hAnsiTheme="minorHAnsi" w:cstheme="minorHAnsi"/>
        </w:rPr>
        <w:t>whisteblower</w:t>
      </w:r>
      <w:proofErr w:type="spellEnd"/>
      <w:r w:rsidRPr="00444A80">
        <w:rPr>
          <w:rFonts w:asciiTheme="minorHAnsi" w:hAnsiTheme="minorHAnsi" w:cstheme="minorHAnsi"/>
        </w:rPr>
        <w:t xml:space="preserve"> viene protetta in ogni contesto successivo alla segnalazione</w:t>
      </w:r>
      <w:r w:rsidR="00443AFE" w:rsidRPr="00444A80">
        <w:rPr>
          <w:rFonts w:asciiTheme="minorHAnsi" w:hAnsiTheme="minorHAnsi" w:cstheme="minorHAnsi"/>
        </w:rPr>
        <w:t>;</w:t>
      </w:r>
    </w:p>
    <w:p w14:paraId="20C728EF" w14:textId="53C0BBB9" w:rsidR="00695A9A" w:rsidRPr="00444A80" w:rsidRDefault="00C86EFC" w:rsidP="00444A80">
      <w:pPr>
        <w:pStyle w:val="Corpotesto"/>
        <w:numPr>
          <w:ilvl w:val="0"/>
          <w:numId w:val="6"/>
        </w:numPr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L’identità del segnalante non può essere rivelata senza il suo espresso consenso</w:t>
      </w:r>
      <w:r w:rsidR="00443AFE" w:rsidRPr="00444A80">
        <w:rPr>
          <w:rFonts w:asciiTheme="minorHAnsi" w:hAnsiTheme="minorHAnsi" w:cstheme="minorHAnsi"/>
        </w:rPr>
        <w:t>;</w:t>
      </w:r>
    </w:p>
    <w:p w14:paraId="137A252E" w14:textId="10A3B0AA" w:rsidR="00695A9A" w:rsidRPr="00444A80" w:rsidRDefault="00C86EFC" w:rsidP="00444A80">
      <w:pPr>
        <w:pStyle w:val="Corpotesto"/>
        <w:numPr>
          <w:ilvl w:val="0"/>
          <w:numId w:val="6"/>
        </w:numPr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Tutti coloro che ricevono o sono coinvolti nella gestione della segnalazione sono tenuti a tutelare la riservatezza di tale informazione. La violazione dell’obbligo di riservatezza è fonte di responsabilità disciplinare, fatte salve ulteriori forme di responsabilità previste dall’ordinamento</w:t>
      </w:r>
      <w:r w:rsidR="00443AFE" w:rsidRPr="00444A80">
        <w:rPr>
          <w:rFonts w:asciiTheme="minorHAnsi" w:hAnsiTheme="minorHAnsi" w:cstheme="minorHAnsi"/>
        </w:rPr>
        <w:t>;</w:t>
      </w:r>
    </w:p>
    <w:p w14:paraId="4FF10CB5" w14:textId="77777777" w:rsidR="00695A9A" w:rsidRPr="00444A80" w:rsidRDefault="00C86EFC" w:rsidP="00444A80">
      <w:pPr>
        <w:pStyle w:val="Corpotesto"/>
        <w:numPr>
          <w:ilvl w:val="0"/>
          <w:numId w:val="6"/>
        </w:numPr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Nell’ambito del procedimento disciplinare, l’identità del segnalante può essere rivelata all’autorità disciplinare e all’incolpato solo nei casi in cui:</w:t>
      </w:r>
    </w:p>
    <w:p w14:paraId="6D816207" w14:textId="701AB442" w:rsidR="00695A9A" w:rsidRPr="00444A80" w:rsidRDefault="00C86EFC" w:rsidP="00444A80">
      <w:pPr>
        <w:pStyle w:val="Corpotesto"/>
        <w:numPr>
          <w:ilvl w:val="1"/>
          <w:numId w:val="7"/>
        </w:numPr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Vi sia il consenso espresso del segnalante</w:t>
      </w:r>
      <w:r w:rsidR="00443AFE" w:rsidRPr="00444A80">
        <w:rPr>
          <w:rFonts w:asciiTheme="minorHAnsi" w:hAnsiTheme="minorHAnsi" w:cstheme="minorHAnsi"/>
        </w:rPr>
        <w:t>;</w:t>
      </w:r>
    </w:p>
    <w:p w14:paraId="179AA46D" w14:textId="02867B8B" w:rsidR="00695A9A" w:rsidRPr="00444A80" w:rsidRDefault="00C86EFC" w:rsidP="00444A80">
      <w:pPr>
        <w:pStyle w:val="Corpotesto"/>
        <w:numPr>
          <w:ilvl w:val="1"/>
          <w:numId w:val="7"/>
        </w:numPr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La contestazione dell’addebito disciplinare risulti fondata, in tutto o in parte, sulla segnalazione e la conoscenza dell’identità del segnalante risulti assolutamente</w:t>
      </w:r>
      <w:r w:rsidR="000E55DC" w:rsidRPr="00444A80">
        <w:rPr>
          <w:rFonts w:asciiTheme="minorHAnsi" w:hAnsiTheme="minorHAnsi" w:cstheme="minorHAnsi"/>
        </w:rPr>
        <w:t xml:space="preserve"> </w:t>
      </w:r>
      <w:r w:rsidRPr="00444A80">
        <w:rPr>
          <w:rFonts w:asciiTheme="minorHAnsi" w:hAnsiTheme="minorHAnsi" w:cstheme="minorHAnsi"/>
        </w:rPr>
        <w:t>indispensabile alla difesa dell’incolpato, sempre che tale circostanza venga da quest’ultimo dedotta e comprovata in sede di audizione o mediante la presentazione di memorie difensiv</w:t>
      </w:r>
      <w:r w:rsidR="00443AFE" w:rsidRPr="00444A80">
        <w:rPr>
          <w:rFonts w:asciiTheme="minorHAnsi" w:hAnsiTheme="minorHAnsi" w:cstheme="minorHAnsi"/>
        </w:rPr>
        <w:t>e.</w:t>
      </w:r>
    </w:p>
    <w:p w14:paraId="70933531" w14:textId="30EB2887" w:rsidR="00695A9A" w:rsidRPr="00444A80" w:rsidRDefault="00C86EFC" w:rsidP="00444A80">
      <w:pPr>
        <w:pStyle w:val="Corpotesto"/>
        <w:numPr>
          <w:ilvl w:val="0"/>
          <w:numId w:val="6"/>
        </w:numPr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 xml:space="preserve">La segnalazione del </w:t>
      </w:r>
      <w:proofErr w:type="spellStart"/>
      <w:r w:rsidRPr="00444A80">
        <w:rPr>
          <w:rFonts w:asciiTheme="minorHAnsi" w:hAnsiTheme="minorHAnsi" w:cstheme="minorHAnsi"/>
        </w:rPr>
        <w:t>whistleblower</w:t>
      </w:r>
      <w:proofErr w:type="spellEnd"/>
      <w:r w:rsidRPr="00444A80">
        <w:rPr>
          <w:rFonts w:asciiTheme="minorHAnsi" w:hAnsiTheme="minorHAnsi" w:cstheme="minorHAnsi"/>
        </w:rPr>
        <w:t xml:space="preserve"> è, inoltre, sottratta al diritto di accesso previsto dagli artt. 22 eseguenti della legge 241/1990 e </w:t>
      </w:r>
      <w:proofErr w:type="spellStart"/>
      <w:r w:rsidRPr="00444A80">
        <w:rPr>
          <w:rFonts w:asciiTheme="minorHAnsi" w:hAnsiTheme="minorHAnsi" w:cstheme="minorHAnsi"/>
        </w:rPr>
        <w:t>ss.</w:t>
      </w:r>
      <w:proofErr w:type="gramStart"/>
      <w:r w:rsidRPr="00444A80">
        <w:rPr>
          <w:rFonts w:asciiTheme="minorHAnsi" w:hAnsiTheme="minorHAnsi" w:cstheme="minorHAnsi"/>
        </w:rPr>
        <w:t>mm.ii</w:t>
      </w:r>
      <w:proofErr w:type="spellEnd"/>
      <w:r w:rsidRPr="00444A80">
        <w:rPr>
          <w:rFonts w:asciiTheme="minorHAnsi" w:hAnsiTheme="minorHAnsi" w:cstheme="minorHAnsi"/>
        </w:rPr>
        <w:t>.</w:t>
      </w:r>
      <w:proofErr w:type="gramEnd"/>
      <w:r w:rsidRPr="00444A80">
        <w:rPr>
          <w:rFonts w:asciiTheme="minorHAnsi" w:hAnsiTheme="minorHAnsi" w:cstheme="minorHAnsi"/>
        </w:rPr>
        <w:t xml:space="preserve"> Il documento non può, pertanto, essere</w:t>
      </w:r>
      <w:r w:rsidR="00443AFE" w:rsidRPr="00444A80">
        <w:rPr>
          <w:rFonts w:asciiTheme="minorHAnsi" w:hAnsiTheme="minorHAnsi" w:cstheme="minorHAnsi"/>
        </w:rPr>
        <w:t xml:space="preserve"> </w:t>
      </w:r>
      <w:r w:rsidRPr="00444A80">
        <w:rPr>
          <w:rFonts w:asciiTheme="minorHAnsi" w:hAnsiTheme="minorHAnsi" w:cstheme="minorHAnsi"/>
        </w:rPr>
        <w:t>oggetto di visione né di estrazione di copia da parte di richiedenti, ricadendo nell’ambito delle</w:t>
      </w:r>
      <w:r w:rsidR="00443AFE" w:rsidRPr="00444A80">
        <w:rPr>
          <w:rFonts w:asciiTheme="minorHAnsi" w:hAnsiTheme="minorHAnsi" w:cstheme="minorHAnsi"/>
        </w:rPr>
        <w:t xml:space="preserve"> </w:t>
      </w:r>
      <w:r w:rsidRPr="00444A80">
        <w:rPr>
          <w:rFonts w:asciiTheme="minorHAnsi" w:hAnsiTheme="minorHAnsi" w:cstheme="minorHAnsi"/>
        </w:rPr>
        <w:t xml:space="preserve">ipotesi di esclusione di cui all’art. 24, comma 1, </w:t>
      </w:r>
      <w:proofErr w:type="spellStart"/>
      <w:proofErr w:type="gramStart"/>
      <w:r w:rsidRPr="00444A80">
        <w:rPr>
          <w:rFonts w:asciiTheme="minorHAnsi" w:hAnsiTheme="minorHAnsi" w:cstheme="minorHAnsi"/>
        </w:rPr>
        <w:t>lett.a</w:t>
      </w:r>
      <w:proofErr w:type="spellEnd"/>
      <w:proofErr w:type="gramEnd"/>
      <w:r w:rsidRPr="00444A80">
        <w:rPr>
          <w:rFonts w:asciiTheme="minorHAnsi" w:hAnsiTheme="minorHAnsi" w:cstheme="minorHAnsi"/>
        </w:rPr>
        <w:t xml:space="preserve">), della l. n. 241/90 </w:t>
      </w:r>
      <w:proofErr w:type="spellStart"/>
      <w:r w:rsidRPr="00444A80">
        <w:rPr>
          <w:rFonts w:asciiTheme="minorHAnsi" w:hAnsiTheme="minorHAnsi" w:cstheme="minorHAnsi"/>
        </w:rPr>
        <w:t>s.m.i.</w:t>
      </w:r>
      <w:proofErr w:type="spellEnd"/>
    </w:p>
    <w:p w14:paraId="5A6C7DBA" w14:textId="77777777" w:rsidR="00695A9A" w:rsidRPr="00444A80" w:rsidRDefault="00695A9A" w:rsidP="00444A80">
      <w:pPr>
        <w:pStyle w:val="Corpotesto"/>
        <w:spacing w:before="14" w:line="276" w:lineRule="auto"/>
        <w:ind w:left="0"/>
        <w:rPr>
          <w:rFonts w:asciiTheme="minorHAnsi" w:hAnsiTheme="minorHAnsi" w:cstheme="minorHAnsi"/>
        </w:rPr>
      </w:pPr>
    </w:p>
    <w:p w14:paraId="0F203C30" w14:textId="77777777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  <w:b/>
          <w:bCs/>
        </w:rPr>
      </w:pPr>
      <w:r w:rsidRPr="00444A80">
        <w:rPr>
          <w:rFonts w:asciiTheme="minorHAnsi" w:hAnsiTheme="minorHAnsi" w:cstheme="minorHAnsi"/>
          <w:b/>
          <w:bCs/>
        </w:rPr>
        <w:t xml:space="preserve">Divieto di discriminazione nei confronti del </w:t>
      </w:r>
      <w:proofErr w:type="spellStart"/>
      <w:r w:rsidRPr="00444A80">
        <w:rPr>
          <w:rFonts w:asciiTheme="minorHAnsi" w:hAnsiTheme="minorHAnsi" w:cstheme="minorHAnsi"/>
          <w:b/>
          <w:bCs/>
        </w:rPr>
        <w:t>whistleblower</w:t>
      </w:r>
      <w:proofErr w:type="spellEnd"/>
    </w:p>
    <w:p w14:paraId="576C60B4" w14:textId="3C04DF65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>Nei confronti del dipendente che effettua una segnalazione ai sensi della presente procedura non è consentita, né tollerata alcuna forma di ritorsione o misura discriminatoria, diretta o indiretta avente effetti sulle condizioni di lavoro per motivi collegati direttamente o indirettamente alla denuncia. Per misure discriminatorie si intendono le azioni disciplinari ingiustificate, le molestie</w:t>
      </w:r>
      <w:r w:rsidR="00443AFE" w:rsidRPr="00444A80">
        <w:rPr>
          <w:rFonts w:asciiTheme="minorHAnsi" w:hAnsiTheme="minorHAnsi" w:cstheme="minorHAnsi"/>
        </w:rPr>
        <w:t xml:space="preserve"> </w:t>
      </w:r>
      <w:r w:rsidRPr="00444A80">
        <w:rPr>
          <w:rFonts w:asciiTheme="minorHAnsi" w:hAnsiTheme="minorHAnsi" w:cstheme="minorHAnsi"/>
        </w:rPr>
        <w:t>sul luogo di lavoro ed ogni altra forma di ritorsione che determini condizioni di lavoro intollerabili. La tutela è circoscritta alle ipotesi in cui segnalante e denunciato siano entrambi dipendenti dell’Istituto. Il dipendente che ritiene di aver subito una discriminazione per il fatto di</w:t>
      </w:r>
      <w:r w:rsidR="00443AFE" w:rsidRPr="00444A80">
        <w:rPr>
          <w:rFonts w:asciiTheme="minorHAnsi" w:hAnsiTheme="minorHAnsi" w:cstheme="minorHAnsi"/>
        </w:rPr>
        <w:t xml:space="preserve"> </w:t>
      </w:r>
      <w:r w:rsidRPr="00444A80">
        <w:rPr>
          <w:rFonts w:asciiTheme="minorHAnsi" w:hAnsiTheme="minorHAnsi" w:cstheme="minorHAnsi"/>
        </w:rPr>
        <w:t>aver effettuato una segnalazione di illecito deve dare notizia circostanziata dell’avvenuta discriminazione al Dirigente Scolastico che, valutata la sussistenza degli elementi e stabilisce tempestivamente l’opportunità/necessità di adottare atti o provvedimenti per ripristinare la situazione e/o per rimediare agli effetti negativi della discriminazione in via amministrativa e la sussistenza degli estremi per avviare il procedimento disciplinare nei confronti del dipendente autore della discriminazione.</w:t>
      </w:r>
    </w:p>
    <w:p w14:paraId="73C6B566" w14:textId="77777777" w:rsidR="00695A9A" w:rsidRPr="00444A80" w:rsidRDefault="00C86EFC" w:rsidP="00444A80">
      <w:pPr>
        <w:pStyle w:val="Titolo1"/>
        <w:spacing w:before="226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4A80">
        <w:rPr>
          <w:rFonts w:asciiTheme="minorHAnsi" w:hAnsiTheme="minorHAnsi" w:cstheme="minorHAnsi"/>
          <w:color w:val="2E5395"/>
          <w:sz w:val="22"/>
          <w:szCs w:val="22"/>
        </w:rPr>
        <w:t>RESPONSABILITÀ</w:t>
      </w:r>
      <w:r w:rsidRPr="00444A80">
        <w:rPr>
          <w:rFonts w:asciiTheme="minorHAnsi" w:hAnsiTheme="minorHAnsi" w:cstheme="minorHAnsi"/>
          <w:color w:val="2E5395"/>
          <w:spacing w:val="10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DEL</w:t>
      </w:r>
      <w:r w:rsidRPr="00444A80">
        <w:rPr>
          <w:rFonts w:asciiTheme="minorHAnsi" w:hAnsiTheme="minorHAnsi" w:cstheme="minorHAnsi"/>
          <w:color w:val="2E5395"/>
          <w:spacing w:val="15"/>
          <w:sz w:val="22"/>
          <w:szCs w:val="22"/>
        </w:rPr>
        <w:t xml:space="preserve"> </w:t>
      </w:r>
      <w:r w:rsidRPr="00444A80">
        <w:rPr>
          <w:rFonts w:asciiTheme="minorHAnsi" w:hAnsiTheme="minorHAnsi" w:cstheme="minorHAnsi"/>
          <w:color w:val="2E5395"/>
          <w:sz w:val="22"/>
          <w:szCs w:val="22"/>
        </w:rPr>
        <w:t>WHISTLEBLOWER</w:t>
      </w:r>
    </w:p>
    <w:p w14:paraId="292A0C5B" w14:textId="77777777" w:rsidR="00695A9A" w:rsidRPr="00444A80" w:rsidRDefault="00C86EFC" w:rsidP="00444A80">
      <w:pPr>
        <w:pStyle w:val="Corpotesto"/>
        <w:spacing w:before="38" w:line="276" w:lineRule="auto"/>
        <w:ind w:right="693"/>
        <w:rPr>
          <w:rFonts w:asciiTheme="minorHAnsi" w:hAnsiTheme="minorHAnsi" w:cstheme="minorHAnsi"/>
        </w:rPr>
      </w:pPr>
      <w:r w:rsidRPr="00444A80">
        <w:rPr>
          <w:rFonts w:asciiTheme="minorHAnsi" w:hAnsiTheme="minorHAnsi" w:cstheme="minorHAnsi"/>
        </w:rPr>
        <w:t xml:space="preserve">La presente procedura lascia impregiudicata la responsabilità penale e disciplinare del </w:t>
      </w:r>
      <w:proofErr w:type="spellStart"/>
      <w:r w:rsidRPr="00444A80">
        <w:rPr>
          <w:rFonts w:asciiTheme="minorHAnsi" w:hAnsiTheme="minorHAnsi" w:cstheme="minorHAnsi"/>
        </w:rPr>
        <w:t>whistleblower</w:t>
      </w:r>
      <w:proofErr w:type="spellEnd"/>
      <w:r w:rsidRPr="00444A80">
        <w:rPr>
          <w:rFonts w:asciiTheme="minorHAnsi" w:hAnsiTheme="minorHAnsi" w:cstheme="minorHAnsi"/>
        </w:rPr>
        <w:t xml:space="preserve"> nell’ipotesi di segnalazione calunniosa o diffamatoria ai sensi del codice penale e dell’art. 2043 del codice civile. Sono altresì fonte di responsabilità, in sede disciplinare e nelle altre competenti sedi, eventuali forme di abuso della presente policy, quali le segnalazioni manifestamente opportunistiche e/o effettuate al solo scopo di danneggiare il denunciato o altri soggetti, e ogni altra ipotesi di utilizzo improprio o di intenzionale strumentalizzazione dell’Istituto oggetto della presente proce</w:t>
      </w:r>
      <w:bookmarkStart w:id="0" w:name="_GoBack"/>
      <w:bookmarkEnd w:id="0"/>
      <w:r w:rsidRPr="00444A80">
        <w:rPr>
          <w:rFonts w:asciiTheme="minorHAnsi" w:hAnsiTheme="minorHAnsi" w:cstheme="minorHAnsi"/>
        </w:rPr>
        <w:t>dura.</w:t>
      </w:r>
    </w:p>
    <w:sectPr w:rsidR="00695A9A" w:rsidRPr="00444A80" w:rsidSect="00444A80">
      <w:footerReference w:type="default" r:id="rId8"/>
      <w:pgSz w:w="11910" w:h="16840"/>
      <w:pgMar w:top="568" w:right="440" w:bottom="280" w:left="567" w:header="720" w:footer="6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B731B" w14:textId="77777777" w:rsidR="00E01CA7" w:rsidRDefault="00E01CA7" w:rsidP="00C86EFC">
      <w:r>
        <w:separator/>
      </w:r>
    </w:p>
  </w:endnote>
  <w:endnote w:type="continuationSeparator" w:id="0">
    <w:p w14:paraId="33FB5A8D" w14:textId="77777777" w:rsidR="00E01CA7" w:rsidRDefault="00E01CA7" w:rsidP="00C8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06916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F4EF754" w14:textId="7CE5760E" w:rsidR="00444A80" w:rsidRPr="00444A80" w:rsidRDefault="00444A80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44A80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44A80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44A80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444A80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2FBAFA7" w14:textId="77777777" w:rsidR="00C86EFC" w:rsidRDefault="00C86EF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6EA25" w14:textId="77777777" w:rsidR="00E01CA7" w:rsidRDefault="00E01CA7" w:rsidP="00C86EFC">
      <w:r>
        <w:separator/>
      </w:r>
    </w:p>
  </w:footnote>
  <w:footnote w:type="continuationSeparator" w:id="0">
    <w:p w14:paraId="5B98663D" w14:textId="77777777" w:rsidR="00E01CA7" w:rsidRDefault="00E01CA7" w:rsidP="00C8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8DD"/>
    <w:multiLevelType w:val="hybridMultilevel"/>
    <w:tmpl w:val="79726E8A"/>
    <w:lvl w:ilvl="0" w:tplc="0410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" w15:restartNumberingAfterBreak="0">
    <w:nsid w:val="1EDB7E26"/>
    <w:multiLevelType w:val="hybridMultilevel"/>
    <w:tmpl w:val="9A5AD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2BEF"/>
    <w:multiLevelType w:val="hybridMultilevel"/>
    <w:tmpl w:val="70E43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75EB5"/>
    <w:multiLevelType w:val="hybridMultilevel"/>
    <w:tmpl w:val="7D3AAA0E"/>
    <w:lvl w:ilvl="0" w:tplc="FFFFFFFF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222C5314">
      <w:numFmt w:val="bullet"/>
      <w:lvlText w:val="-"/>
      <w:lvlJc w:val="left"/>
      <w:pPr>
        <w:ind w:left="2092" w:hanging="360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4" w15:restartNumberingAfterBreak="0">
    <w:nsid w:val="484C62A2"/>
    <w:multiLevelType w:val="hybridMultilevel"/>
    <w:tmpl w:val="68BEDFEC"/>
    <w:lvl w:ilvl="0" w:tplc="0410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 w15:restartNumberingAfterBreak="0">
    <w:nsid w:val="4E6A788D"/>
    <w:multiLevelType w:val="hybridMultilevel"/>
    <w:tmpl w:val="2CDEA3AC"/>
    <w:lvl w:ilvl="0" w:tplc="0410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6" w15:restartNumberingAfterBreak="0">
    <w:nsid w:val="4FC61F8D"/>
    <w:multiLevelType w:val="hybridMultilevel"/>
    <w:tmpl w:val="15FA7B04"/>
    <w:lvl w:ilvl="0" w:tplc="ABB25094">
      <w:numFmt w:val="bullet"/>
      <w:lvlText w:val=""/>
      <w:lvlJc w:val="left"/>
      <w:pPr>
        <w:ind w:left="137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3901C7C">
      <w:numFmt w:val="bullet"/>
      <w:lvlText w:val="•"/>
      <w:lvlJc w:val="left"/>
      <w:pPr>
        <w:ind w:left="2340" w:hanging="360"/>
      </w:pPr>
      <w:rPr>
        <w:rFonts w:hint="default"/>
        <w:lang w:val="it-IT" w:eastAsia="en-US" w:bidi="ar-SA"/>
      </w:rPr>
    </w:lvl>
    <w:lvl w:ilvl="2" w:tplc="2E14436E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3B98C6FC">
      <w:numFmt w:val="bullet"/>
      <w:lvlText w:val="•"/>
      <w:lvlJc w:val="left"/>
      <w:pPr>
        <w:ind w:left="4261" w:hanging="360"/>
      </w:pPr>
      <w:rPr>
        <w:rFonts w:hint="default"/>
        <w:lang w:val="it-IT" w:eastAsia="en-US" w:bidi="ar-SA"/>
      </w:rPr>
    </w:lvl>
    <w:lvl w:ilvl="4" w:tplc="3AEE1438">
      <w:numFmt w:val="bullet"/>
      <w:lvlText w:val="•"/>
      <w:lvlJc w:val="left"/>
      <w:pPr>
        <w:ind w:left="5222" w:hanging="360"/>
      </w:pPr>
      <w:rPr>
        <w:rFonts w:hint="default"/>
        <w:lang w:val="it-IT" w:eastAsia="en-US" w:bidi="ar-SA"/>
      </w:rPr>
    </w:lvl>
    <w:lvl w:ilvl="5" w:tplc="17A68D44">
      <w:numFmt w:val="bullet"/>
      <w:lvlText w:val="•"/>
      <w:lvlJc w:val="left"/>
      <w:pPr>
        <w:ind w:left="6183" w:hanging="360"/>
      </w:pPr>
      <w:rPr>
        <w:rFonts w:hint="default"/>
        <w:lang w:val="it-IT" w:eastAsia="en-US" w:bidi="ar-SA"/>
      </w:rPr>
    </w:lvl>
    <w:lvl w:ilvl="6" w:tplc="EC645732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7" w:tplc="8E7A4B9A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  <w:lvl w:ilvl="8" w:tplc="A364B18E">
      <w:numFmt w:val="bullet"/>
      <w:lvlText w:val="•"/>
      <w:lvlJc w:val="left"/>
      <w:pPr>
        <w:ind w:left="9065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9A"/>
    <w:rsid w:val="000E55DC"/>
    <w:rsid w:val="00443AFE"/>
    <w:rsid w:val="00444A80"/>
    <w:rsid w:val="00681149"/>
    <w:rsid w:val="00695A9A"/>
    <w:rsid w:val="006A6C51"/>
    <w:rsid w:val="00AD6E92"/>
    <w:rsid w:val="00C86EFC"/>
    <w:rsid w:val="00E0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9B23C"/>
  <w15:docId w15:val="{4976FE9D-C309-4D2E-8935-89727E6F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ind w:left="652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652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52"/>
      <w:jc w:val="both"/>
    </w:pPr>
  </w:style>
  <w:style w:type="paragraph" w:styleId="Titolo">
    <w:name w:val="Title"/>
    <w:basedOn w:val="Normale"/>
    <w:uiPriority w:val="10"/>
    <w:qFormat/>
    <w:pPr>
      <w:spacing w:before="98" w:line="488" w:lineRule="exact"/>
      <w:ind w:left="1100" w:right="1143"/>
      <w:jc w:val="center"/>
    </w:pPr>
    <w:rPr>
      <w:rFonts w:ascii="Tahoma" w:eastAsia="Tahoma" w:hAnsi="Tahoma" w:cs="Tahoma"/>
      <w:b/>
      <w:bCs/>
      <w:sz w:val="41"/>
      <w:szCs w:val="41"/>
    </w:rPr>
  </w:style>
  <w:style w:type="paragraph" w:styleId="Paragrafoelenco">
    <w:name w:val="List Paragraph"/>
    <w:basedOn w:val="Normale"/>
    <w:uiPriority w:val="1"/>
    <w:qFormat/>
    <w:pPr>
      <w:spacing w:before="15"/>
      <w:ind w:left="137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86E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EFC"/>
    <w:rPr>
      <w:rFonts w:ascii="Lucida Sans Unicode" w:eastAsia="Lucida Sans Unicode" w:hAnsi="Lucida Sans Unicode" w:cs="Lucida Sans Unicod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86E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EFC"/>
    <w:rPr>
      <w:rFonts w:ascii="Lucida Sans Unicode" w:eastAsia="Lucida Sans Unicode" w:hAnsi="Lucida Sans Unicode" w:cs="Lucida Sans Unicod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1498</Words>
  <Characters>8541</Characters>
  <Application>Microsoft Office Word</Application>
  <DocSecurity>0</DocSecurity>
  <Lines>71</Lines>
  <Paragraphs>20</Paragraphs>
  <ScaleCrop>false</ScaleCrop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whistleblowing - procedura</dc:title>
  <dc:creator>Camilla Doria</dc:creator>
  <cp:lastModifiedBy>Asus</cp:lastModifiedBy>
  <cp:revision>8</cp:revision>
  <dcterms:created xsi:type="dcterms:W3CDTF">2023-10-03T07:14:00Z</dcterms:created>
  <dcterms:modified xsi:type="dcterms:W3CDTF">2025-03-10T14:12:00Z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